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8" w:type="dxa"/>
        <w:jc w:val="center"/>
        <w:tblCellMar>
          <w:left w:w="10" w:type="dxa"/>
          <w:right w:w="10" w:type="dxa"/>
        </w:tblCellMar>
        <w:tblLook w:val="0000" w:firstRow="0" w:lastRow="0" w:firstColumn="0" w:lastColumn="0" w:noHBand="0" w:noVBand="0"/>
      </w:tblPr>
      <w:tblGrid>
        <w:gridCol w:w="5269"/>
        <w:gridCol w:w="2232"/>
        <w:gridCol w:w="1324"/>
        <w:gridCol w:w="1713"/>
      </w:tblGrid>
      <w:tr w:rsidR="001D5018" w:rsidRPr="00656059" w:rsidTr="00D85A8B">
        <w:trPr>
          <w:trHeight w:val="2226"/>
          <w:jc w:val="center"/>
        </w:trPr>
        <w:tc>
          <w:tcPr>
            <w:tcW w:w="10538" w:type="dxa"/>
            <w:gridSpan w:val="4"/>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right"/>
              <w:textAlignment w:val="auto"/>
              <w:rPr>
                <w:rFonts w:ascii="Times New Roman" w:eastAsia="Times New Roman" w:hAnsi="Times New Roman"/>
                <w:sz w:val="24"/>
                <w:szCs w:val="24"/>
                <w:lang w:val="ro-MD" w:eastAsia="ro-RO"/>
              </w:rPr>
            </w:pPr>
            <w:r>
              <w:rPr>
                <w:rFonts w:ascii="Times New Roman" w:eastAsia="Times New Roman" w:hAnsi="Times New Roman"/>
                <w:sz w:val="24"/>
                <w:szCs w:val="24"/>
                <w:lang w:val="ro-MD" w:eastAsia="ro-RO"/>
              </w:rPr>
              <w:t>„</w:t>
            </w:r>
            <w:r w:rsidRPr="00656059">
              <w:rPr>
                <w:rFonts w:ascii="Times New Roman" w:eastAsia="Times New Roman" w:hAnsi="Times New Roman"/>
                <w:sz w:val="24"/>
                <w:szCs w:val="24"/>
                <w:lang w:val="ro-MD" w:eastAsia="ro-RO"/>
              </w:rPr>
              <w:t xml:space="preserve">Anexa nr.13 </w:t>
            </w:r>
          </w:p>
          <w:p w:rsidR="001D5018" w:rsidRPr="00656059" w:rsidRDefault="001D5018" w:rsidP="00D85A8B">
            <w:pPr>
              <w:suppressAutoHyphens w:val="0"/>
              <w:spacing w:after="0" w:line="240" w:lineRule="auto"/>
              <w:jc w:val="right"/>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 xml:space="preserve">la Hotărîrea Guvernului </w:t>
            </w:r>
          </w:p>
          <w:p w:rsidR="001D5018" w:rsidRPr="00656059" w:rsidRDefault="001D5018" w:rsidP="00D85A8B">
            <w:pPr>
              <w:suppressAutoHyphens w:val="0"/>
              <w:spacing w:after="0" w:line="240" w:lineRule="auto"/>
              <w:jc w:val="right"/>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 xml:space="preserve">nr.182 din 16 martie 2010 </w:t>
            </w:r>
          </w:p>
          <w:p w:rsidR="001D5018" w:rsidRPr="00656059" w:rsidRDefault="001D5018"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 </w:t>
            </w:r>
          </w:p>
          <w:p w:rsidR="001D5018" w:rsidRPr="00656059" w:rsidRDefault="001D5018"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p>
          <w:p w:rsidR="001D5018" w:rsidRPr="00656059" w:rsidRDefault="001D5018"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 xml:space="preserve">Structura, efectivul de personal şi indemnizaţiile de funcţie ale </w:t>
            </w:r>
          </w:p>
          <w:p w:rsidR="001D5018" w:rsidRPr="00656059" w:rsidRDefault="001D5018" w:rsidP="00D85A8B">
            <w:pPr>
              <w:suppressAutoHyphens w:val="0"/>
              <w:spacing w:after="0" w:line="240" w:lineRule="auto"/>
              <w:jc w:val="center"/>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Ambasadei Republicii Moldova în Federaţia Rusă</w:t>
            </w:r>
          </w:p>
        </w:tc>
      </w:tr>
      <w:tr w:rsidR="001D5018" w:rsidRPr="00656059" w:rsidTr="00D85A8B">
        <w:trPr>
          <w:trHeight w:val="639"/>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Funcţia</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Procentul din</w:t>
            </w:r>
            <w:r w:rsidRPr="00656059">
              <w:rPr>
                <w:rFonts w:ascii="Times New Roman" w:eastAsia="Times New Roman" w:hAnsi="Times New Roman"/>
                <w:b/>
                <w:bCs/>
                <w:sz w:val="24"/>
                <w:szCs w:val="24"/>
                <w:lang w:val="ro-MD" w:eastAsia="ro-RO"/>
              </w:rPr>
              <w:br/>
              <w:t xml:space="preserve">indemnizaţia şefului </w:t>
            </w:r>
            <w:r w:rsidRPr="00656059">
              <w:rPr>
                <w:rFonts w:ascii="Times New Roman" w:eastAsia="Times New Roman" w:hAnsi="Times New Roman"/>
                <w:b/>
                <w:bCs/>
                <w:sz w:val="24"/>
                <w:szCs w:val="24"/>
                <w:lang w:val="ro-MD" w:eastAsia="ro-RO"/>
              </w:rPr>
              <w:br/>
              <w:t>misiunii diplomatice</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Unităţi</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Indemnizaţia de</w:t>
            </w:r>
            <w:r w:rsidRPr="00656059">
              <w:rPr>
                <w:rFonts w:ascii="Times New Roman" w:eastAsia="Times New Roman" w:hAnsi="Times New Roman"/>
                <w:b/>
                <w:bCs/>
                <w:sz w:val="24"/>
                <w:szCs w:val="24"/>
                <w:lang w:val="ro-MD" w:eastAsia="ro-RO"/>
              </w:rPr>
              <w:br/>
              <w:t>funcţie lunară</w:t>
            </w:r>
            <w:r w:rsidRPr="00656059">
              <w:rPr>
                <w:rFonts w:ascii="Times New Roman" w:eastAsia="Times New Roman" w:hAnsi="Times New Roman"/>
                <w:b/>
                <w:bCs/>
                <w:sz w:val="24"/>
                <w:szCs w:val="24"/>
                <w:lang w:val="ro-MD" w:eastAsia="ro-RO"/>
              </w:rPr>
              <w:br/>
              <w:t>(euro) </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Ambasador</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2100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Ministru-consilier</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90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1890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Consilier</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85</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2* x 1785</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3570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Consilier (probleme consulare)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85</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1785</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Consilier (probleme economice)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85</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1785</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Consilier (atașat vamal)</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85</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1785</w:t>
            </w:r>
          </w:p>
        </w:tc>
      </w:tr>
      <w:tr w:rsidR="001D5018" w:rsidRPr="00656059" w:rsidTr="00D85A8B">
        <w:trPr>
          <w:trHeight w:val="205"/>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Secretar I</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1680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Secretar I (probleme consulare)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1680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Secretar I (probleme economice)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1680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Secretar II</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70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1470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Secretar II (probleme economice)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70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1470</w:t>
            </w:r>
          </w:p>
        </w:tc>
      </w:tr>
      <w:tr w:rsidR="001D5018" w:rsidRPr="00656059" w:rsidTr="00D85A8B">
        <w:trPr>
          <w:trHeight w:val="639"/>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Ministru-consilier, Reprezentant plenipotenţiar în Comisia pentru problemele economice pe lîngă Co</w:t>
            </w:r>
            <w:r>
              <w:rPr>
                <w:rFonts w:ascii="Times New Roman" w:eastAsia="Times New Roman" w:hAnsi="Times New Roman"/>
                <w:sz w:val="24"/>
                <w:szCs w:val="24"/>
                <w:lang w:val="ro-MD" w:eastAsia="ro-RO"/>
              </w:rPr>
              <w:t>n</w:t>
            </w:r>
            <w:r w:rsidRPr="00656059">
              <w:rPr>
                <w:rFonts w:ascii="Times New Roman" w:eastAsia="Times New Roman" w:hAnsi="Times New Roman"/>
                <w:sz w:val="24"/>
                <w:szCs w:val="24"/>
                <w:lang w:val="ro-MD" w:eastAsia="ro-RO"/>
              </w:rPr>
              <w:t>siliul economic al C.S.I.</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90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1890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Total:</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12</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21000</w:t>
            </w:r>
          </w:p>
        </w:tc>
      </w:tr>
      <w:tr w:rsidR="001D5018" w:rsidRPr="00656059" w:rsidTr="00D85A8B">
        <w:trPr>
          <w:trHeight w:val="217"/>
          <w:jc w:val="center"/>
        </w:trPr>
        <w:tc>
          <w:tcPr>
            <w:tcW w:w="1053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Serviciul financiar-administrativ</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Şef serviciu, contabil-şef</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60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1260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Contabil-casier</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40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840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Administrator, şofer</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55</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1155</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Şofer</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40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840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Total:</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4</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4095</w:t>
            </w:r>
          </w:p>
        </w:tc>
      </w:tr>
      <w:tr w:rsidR="001D5018" w:rsidRPr="00656059" w:rsidTr="00D85A8B">
        <w:trPr>
          <w:trHeight w:val="217"/>
          <w:jc w:val="center"/>
        </w:trPr>
        <w:tc>
          <w:tcPr>
            <w:tcW w:w="1053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Serviciul cancelarie</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Şef de cancelarie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55</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1155</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Dactilograf</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40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840</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Total:</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2</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1995</w:t>
            </w:r>
          </w:p>
        </w:tc>
      </w:tr>
      <w:tr w:rsidR="001D5018" w:rsidRPr="00656059" w:rsidTr="00D85A8B">
        <w:trPr>
          <w:trHeight w:val="217"/>
          <w:jc w:val="center"/>
        </w:trPr>
        <w:tc>
          <w:tcPr>
            <w:tcW w:w="526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Total general:</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textAlignment w:val="auto"/>
              <w:rPr>
                <w:rFonts w:ascii="Times New Roman" w:eastAsia="Times New Roman" w:hAnsi="Times New Roman"/>
                <w:sz w:val="24"/>
                <w:szCs w:val="24"/>
                <w:lang w:val="ro-MD" w:eastAsia="ro-RO"/>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18</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jc w:val="center"/>
              <w:textAlignment w:val="auto"/>
              <w:rPr>
                <w:rFonts w:ascii="Times New Roman" w:hAnsi="Times New Roman"/>
                <w:sz w:val="24"/>
                <w:szCs w:val="24"/>
                <w:lang w:val="ro-MD"/>
              </w:rPr>
            </w:pPr>
            <w:r w:rsidRPr="00656059">
              <w:rPr>
                <w:rStyle w:val="Fontdeparagrafimplicit1"/>
                <w:rFonts w:ascii="Times New Roman" w:eastAsia="Times New Roman" w:hAnsi="Times New Roman"/>
                <w:b/>
                <w:bCs/>
                <w:sz w:val="24"/>
                <w:szCs w:val="24"/>
                <w:lang w:val="ro-MD" w:eastAsia="ro-RO"/>
              </w:rPr>
              <w:t>27090</w:t>
            </w:r>
          </w:p>
        </w:tc>
      </w:tr>
      <w:tr w:rsidR="001D5018" w:rsidRPr="00656059" w:rsidTr="00D85A8B">
        <w:trPr>
          <w:trHeight w:val="1678"/>
          <w:jc w:val="center"/>
        </w:trPr>
        <w:tc>
          <w:tcPr>
            <w:tcW w:w="10538" w:type="dxa"/>
            <w:gridSpan w:val="4"/>
            <w:shd w:val="clear" w:color="auto" w:fill="auto"/>
            <w:tcMar>
              <w:top w:w="15" w:type="dxa"/>
              <w:left w:w="45" w:type="dxa"/>
              <w:bottom w:w="15" w:type="dxa"/>
              <w:right w:w="45" w:type="dxa"/>
            </w:tcMar>
          </w:tcPr>
          <w:p w:rsidR="001D5018" w:rsidRPr="00656059" w:rsidRDefault="001D5018" w:rsidP="00D85A8B">
            <w:pPr>
              <w:suppressAutoHyphens w:val="0"/>
              <w:spacing w:after="0" w:line="240" w:lineRule="auto"/>
              <w:ind w:firstLine="558"/>
              <w:jc w:val="both"/>
              <w:textAlignment w:val="auto"/>
              <w:rPr>
                <w:rFonts w:ascii="Times New Roman" w:hAnsi="Times New Roman"/>
                <w:sz w:val="24"/>
                <w:szCs w:val="24"/>
                <w:lang w:val="ro-MD"/>
              </w:rPr>
            </w:pPr>
            <w:r w:rsidRPr="00656059">
              <w:rPr>
                <w:rStyle w:val="Fontdeparagrafimplicit1"/>
                <w:rFonts w:ascii="Times New Roman" w:eastAsia="Times New Roman" w:hAnsi="Times New Roman"/>
                <w:sz w:val="24"/>
                <w:szCs w:val="24"/>
                <w:lang w:val="ro-MD" w:eastAsia="ro-RO"/>
              </w:rPr>
              <w:t xml:space="preserve">* O unitate de consilier este suplinită de reprezentantul oficial al Serviciului de Informaţii şi Securitate al Republicii Moldova. </w:t>
            </w:r>
          </w:p>
          <w:p w:rsidR="001D5018" w:rsidRPr="00656059" w:rsidRDefault="001D5018" w:rsidP="00D85A8B">
            <w:pPr>
              <w:suppressAutoHyphens w:val="0"/>
              <w:spacing w:after="0" w:line="240" w:lineRule="auto"/>
              <w:jc w:val="both"/>
              <w:textAlignment w:val="auto"/>
              <w:rPr>
                <w:rFonts w:ascii="Times New Roman" w:hAnsi="Times New Roman"/>
                <w:sz w:val="24"/>
                <w:szCs w:val="24"/>
                <w:lang w:val="ro-MD"/>
              </w:rPr>
            </w:pPr>
            <w:r w:rsidRPr="00656059">
              <w:rPr>
                <w:rStyle w:val="Fontdeparagrafimplicit1"/>
                <w:rFonts w:ascii="Times New Roman" w:eastAsia="Times New Roman" w:hAnsi="Times New Roman"/>
                <w:sz w:val="24"/>
                <w:szCs w:val="24"/>
                <w:lang w:val="ro-MD" w:eastAsia="ro-RO"/>
              </w:rPr>
              <w:t xml:space="preserve">           ** Unitatea de consilier (ataşat vamal) este suplinită de reprezentantul oficial al Serviciului Vamal al Republicii Moldova, care se confirmă prin ordinul ministrului afacerilor externe şi integrării europene al Republicii Moldova. Cheltuielile pentru întreținerea unității se vor efectua din sursele Serviciului Vamal.</w:t>
            </w:r>
          </w:p>
          <w:p w:rsidR="001D5018" w:rsidRPr="00656059" w:rsidRDefault="001D5018"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 Este numit prin hotărîre de Guvern, cu confirmarea în funcţie prin ordinul ministrului afacerilor externe şi integrării europene al Republicii Moldova.</w:t>
            </w:r>
            <w:r>
              <w:rPr>
                <w:rFonts w:ascii="Times New Roman" w:eastAsia="Times New Roman" w:hAnsi="Times New Roman"/>
                <w:sz w:val="24"/>
                <w:szCs w:val="24"/>
                <w:lang w:val="ro-MD" w:eastAsia="ro-RO"/>
              </w:rPr>
              <w:t>”;</w:t>
            </w:r>
          </w:p>
        </w:tc>
      </w:tr>
    </w:tbl>
    <w:p w:rsidR="00B35D89" w:rsidRDefault="00B35D89">
      <w:bookmarkStart w:id="0" w:name="_GoBack"/>
      <w:bookmarkEnd w:id="0"/>
    </w:p>
    <w:sectPr w:rsidR="00B35D89" w:rsidSect="001D5018">
      <w:pgSz w:w="11906" w:h="16838"/>
      <w:pgMar w:top="72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18"/>
    <w:rsid w:val="001D5018"/>
    <w:rsid w:val="00B3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116FD-A772-4491-A711-6CC3F3DC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5018"/>
    <w:pPr>
      <w:suppressAutoHyphens/>
      <w:autoSpaceDN w:val="0"/>
      <w:spacing w:after="200" w:line="276" w:lineRule="auto"/>
      <w:textAlignment w:val="baseline"/>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deparagrafimplicit1">
    <w:name w:val="Font de paragraf implicit1"/>
    <w:rsid w:val="001D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2015-09-07T05:40:00Z</dcterms:created>
  <dcterms:modified xsi:type="dcterms:W3CDTF">2015-09-07T05:40:00Z</dcterms:modified>
</cp:coreProperties>
</file>